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A6" w:rsidRPr="005F6F60" w:rsidRDefault="001B79EB" w:rsidP="005F6F6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5F6F6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F39818" wp14:editId="301E9641">
            <wp:extent cx="1705738" cy="1152525"/>
            <wp:effectExtent l="0" t="0" r="889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304" cy="115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F60" w:rsidRPr="005F6F6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</w:t>
      </w:r>
      <w:r w:rsidR="006F3EA6" w:rsidRPr="005F6F60">
        <w:rPr>
          <w:rFonts w:ascii="Times New Roman" w:hAnsi="Times New Roman" w:cs="Times New Roman"/>
          <w:b/>
          <w:spacing w:val="-1"/>
          <w:sz w:val="36"/>
          <w:szCs w:val="28"/>
        </w:rPr>
        <w:t>KIDNEY DISEASE EDUCATION</w:t>
      </w:r>
      <w:r w:rsidR="00911EF9">
        <w:rPr>
          <w:rFonts w:ascii="Times New Roman" w:hAnsi="Times New Roman" w:cs="Times New Roman"/>
          <w:b/>
          <w:spacing w:val="-1"/>
          <w:sz w:val="36"/>
          <w:szCs w:val="28"/>
        </w:rPr>
        <w:t xml:space="preserve"> </w:t>
      </w:r>
    </w:p>
    <w:p w:rsidR="006F3EA6" w:rsidRPr="005F6F60" w:rsidRDefault="006F3EA6" w:rsidP="006F3EA6">
      <w:pPr>
        <w:pStyle w:val="BodyText"/>
        <w:spacing w:before="72"/>
        <w:rPr>
          <w:rFonts w:cs="Times New Roman"/>
          <w:b/>
          <w:spacing w:val="-1"/>
        </w:rPr>
      </w:pPr>
    </w:p>
    <w:p w:rsidR="00045961" w:rsidRPr="000D0B6C" w:rsidRDefault="00045961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  <w:r w:rsidRPr="000D0B6C">
        <w:rPr>
          <w:rFonts w:cs="Times New Roman"/>
          <w:b/>
          <w:spacing w:val="-1"/>
          <w:sz w:val="24"/>
          <w:szCs w:val="24"/>
        </w:rPr>
        <w:t xml:space="preserve">What is </w:t>
      </w:r>
      <w:r w:rsidR="00911EF9" w:rsidRPr="000D0B6C">
        <w:rPr>
          <w:rFonts w:cs="Times New Roman"/>
          <w:b/>
          <w:spacing w:val="-1"/>
          <w:sz w:val="24"/>
          <w:szCs w:val="24"/>
        </w:rPr>
        <w:t>Kidney Disease Education</w:t>
      </w:r>
      <w:r w:rsidR="000D0B6C" w:rsidRPr="000D0B6C">
        <w:rPr>
          <w:rFonts w:cs="Times New Roman"/>
          <w:b/>
          <w:spacing w:val="-1"/>
          <w:sz w:val="24"/>
          <w:szCs w:val="24"/>
        </w:rPr>
        <w:t xml:space="preserve"> (KDE)</w:t>
      </w:r>
      <w:r w:rsidRPr="000D0B6C">
        <w:rPr>
          <w:rFonts w:cs="Times New Roman"/>
          <w:b/>
          <w:spacing w:val="-1"/>
          <w:sz w:val="24"/>
          <w:szCs w:val="24"/>
        </w:rPr>
        <w:t>?</w:t>
      </w:r>
    </w:p>
    <w:p w:rsidR="00045961" w:rsidRPr="000D0B6C" w:rsidRDefault="005F6F60" w:rsidP="00911EF9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 xml:space="preserve">Medicare pays for </w:t>
      </w:r>
      <w:r w:rsidR="00045961" w:rsidRPr="000D0B6C">
        <w:rPr>
          <w:rFonts w:cs="Times New Roman"/>
          <w:spacing w:val="-1"/>
          <w:sz w:val="24"/>
          <w:szCs w:val="24"/>
        </w:rPr>
        <w:t xml:space="preserve">health care providers </w:t>
      </w:r>
      <w:r w:rsidRPr="000D0B6C">
        <w:rPr>
          <w:rFonts w:cs="Times New Roman"/>
          <w:spacing w:val="-1"/>
          <w:sz w:val="24"/>
          <w:szCs w:val="24"/>
        </w:rPr>
        <w:t xml:space="preserve">to educate patients on how to manage their kidney disease, and what </w:t>
      </w:r>
      <w:r w:rsidR="000D0B6C" w:rsidRPr="000D0B6C">
        <w:rPr>
          <w:rFonts w:cs="Times New Roman"/>
          <w:spacing w:val="-1"/>
          <w:sz w:val="24"/>
          <w:szCs w:val="24"/>
        </w:rPr>
        <w:t xml:space="preserve">treatment </w:t>
      </w:r>
      <w:r w:rsidRPr="000D0B6C">
        <w:rPr>
          <w:rFonts w:cs="Times New Roman"/>
          <w:spacing w:val="-1"/>
          <w:sz w:val="24"/>
          <w:szCs w:val="24"/>
        </w:rPr>
        <w:t>options they have if the disease progresses</w:t>
      </w:r>
      <w:r w:rsidR="006F3EA6" w:rsidRPr="000D0B6C">
        <w:rPr>
          <w:rFonts w:cs="Times New Roman"/>
          <w:spacing w:val="-1"/>
          <w:sz w:val="24"/>
          <w:szCs w:val="24"/>
        </w:rPr>
        <w:t xml:space="preserve">. </w:t>
      </w:r>
      <w:r w:rsidR="000D0B6C" w:rsidRPr="000D0B6C">
        <w:rPr>
          <w:rFonts w:cs="Times New Roman"/>
          <w:spacing w:val="-1"/>
          <w:sz w:val="24"/>
          <w:szCs w:val="24"/>
        </w:rPr>
        <w:t>KDE</w:t>
      </w:r>
      <w:r w:rsidR="00045961" w:rsidRPr="000D0B6C">
        <w:rPr>
          <w:rFonts w:cs="Times New Roman"/>
          <w:spacing w:val="-1"/>
          <w:sz w:val="24"/>
          <w:szCs w:val="24"/>
        </w:rPr>
        <w:t xml:space="preserve"> can help patients make more informed choices, receive a better quality of life, and handle the physical, emotional and financial changes ahead. </w:t>
      </w:r>
      <w:r w:rsidR="000D0B6C" w:rsidRPr="000D0B6C">
        <w:rPr>
          <w:rFonts w:cs="Times New Roman"/>
          <w:spacing w:val="-1"/>
          <w:sz w:val="24"/>
          <w:szCs w:val="24"/>
        </w:rPr>
        <w:t>KDE can also help more patients choose home dialysis, if appropriate for them.</w:t>
      </w:r>
    </w:p>
    <w:p w:rsidR="000D0B6C" w:rsidRPr="000D0B6C" w:rsidRDefault="000D0B6C" w:rsidP="00911EF9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</w:p>
    <w:p w:rsidR="000D0B6C" w:rsidRPr="000D0B6C" w:rsidRDefault="000D0B6C" w:rsidP="000D0B6C">
      <w:pPr>
        <w:pStyle w:val="BodyText"/>
        <w:spacing w:before="72"/>
        <w:rPr>
          <w:rFonts w:cs="Times New Roman"/>
          <w:b/>
          <w:i/>
          <w:spacing w:val="-1"/>
          <w:sz w:val="24"/>
          <w:szCs w:val="24"/>
        </w:rPr>
      </w:pPr>
      <w:r w:rsidRPr="000D0B6C">
        <w:rPr>
          <w:rFonts w:cs="Times New Roman"/>
          <w:b/>
          <w:i/>
          <w:spacing w:val="-1"/>
          <w:sz w:val="24"/>
          <w:szCs w:val="24"/>
        </w:rPr>
        <w:t>Unfortunately, KDE is extremely underutilized. The Government Accountability Office (GAO) found that less than 2% of eligible patients use KDE benefits.</w:t>
      </w:r>
    </w:p>
    <w:p w:rsidR="006F3EA6" w:rsidRPr="000D0B6C" w:rsidRDefault="006F3EA6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</w:p>
    <w:p w:rsidR="00045961" w:rsidRPr="000D0B6C" w:rsidRDefault="00045961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  <w:r w:rsidRPr="000D0B6C">
        <w:rPr>
          <w:rFonts w:cs="Times New Roman"/>
          <w:b/>
          <w:spacing w:val="-1"/>
          <w:sz w:val="24"/>
          <w:szCs w:val="24"/>
        </w:rPr>
        <w:t xml:space="preserve">Who is eligible to receive KDE? </w:t>
      </w:r>
    </w:p>
    <w:p w:rsidR="005F6F60" w:rsidRPr="000D0B6C" w:rsidRDefault="00045961" w:rsidP="006F3EA6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>Patients with Stage 4</w:t>
      </w:r>
      <w:r w:rsidR="005F6F60" w:rsidRPr="000D0B6C">
        <w:rPr>
          <w:rFonts w:cs="Times New Roman"/>
          <w:spacing w:val="-1"/>
          <w:sz w:val="24"/>
          <w:szCs w:val="24"/>
        </w:rPr>
        <w:t xml:space="preserve"> c</w:t>
      </w:r>
      <w:r w:rsidR="006F3EA6" w:rsidRPr="000D0B6C">
        <w:rPr>
          <w:rFonts w:cs="Times New Roman"/>
          <w:spacing w:val="-1"/>
          <w:sz w:val="24"/>
          <w:szCs w:val="24"/>
        </w:rPr>
        <w:t xml:space="preserve">hronic kidney disease (CKD) </w:t>
      </w:r>
      <w:r w:rsidR="005F6F60" w:rsidRPr="000D0B6C">
        <w:rPr>
          <w:rFonts w:cs="Times New Roman"/>
          <w:spacing w:val="-1"/>
          <w:sz w:val="24"/>
          <w:szCs w:val="24"/>
        </w:rPr>
        <w:t xml:space="preserve">are </w:t>
      </w:r>
      <w:r w:rsidRPr="000D0B6C">
        <w:rPr>
          <w:rFonts w:cs="Times New Roman"/>
          <w:spacing w:val="-1"/>
          <w:sz w:val="24"/>
          <w:szCs w:val="24"/>
        </w:rPr>
        <w:t>eligible to receive KDE</w:t>
      </w:r>
      <w:r w:rsidR="005F6F60" w:rsidRPr="000D0B6C">
        <w:rPr>
          <w:rFonts w:cs="Times New Roman"/>
          <w:spacing w:val="-1"/>
          <w:sz w:val="24"/>
          <w:szCs w:val="24"/>
        </w:rPr>
        <w:t xml:space="preserve">. </w:t>
      </w:r>
      <w:r w:rsidRPr="000D0B6C">
        <w:rPr>
          <w:rFonts w:cs="Times New Roman"/>
          <w:spacing w:val="-1"/>
          <w:sz w:val="24"/>
          <w:szCs w:val="24"/>
        </w:rPr>
        <w:t xml:space="preserve">CKD has 5 stages -- </w:t>
      </w:r>
      <w:r w:rsidR="005F6F60" w:rsidRPr="000D0B6C">
        <w:rPr>
          <w:rFonts w:cs="Times New Roman"/>
          <w:spacing w:val="-1"/>
          <w:sz w:val="24"/>
          <w:szCs w:val="24"/>
        </w:rPr>
        <w:t>Stage 5</w:t>
      </w:r>
      <w:r w:rsidRPr="000D0B6C">
        <w:rPr>
          <w:rFonts w:cs="Times New Roman"/>
          <w:spacing w:val="-1"/>
          <w:sz w:val="24"/>
          <w:szCs w:val="24"/>
        </w:rPr>
        <w:t xml:space="preserve"> patients are in</w:t>
      </w:r>
      <w:r w:rsidR="005F6F60" w:rsidRPr="000D0B6C">
        <w:rPr>
          <w:rFonts w:cs="Times New Roman"/>
          <w:spacing w:val="-1"/>
          <w:sz w:val="24"/>
          <w:szCs w:val="24"/>
        </w:rPr>
        <w:t xml:space="preserve"> kidney failure, and patients are diagnosed with end-stage renal disease. Stage 4 CKD patients</w:t>
      </w:r>
      <w:r w:rsidRPr="000D0B6C">
        <w:rPr>
          <w:rFonts w:cs="Times New Roman"/>
          <w:spacing w:val="-1"/>
          <w:sz w:val="24"/>
          <w:szCs w:val="24"/>
        </w:rPr>
        <w:t xml:space="preserve"> are</w:t>
      </w:r>
      <w:r w:rsidR="005F6F60" w:rsidRPr="000D0B6C">
        <w:rPr>
          <w:rFonts w:cs="Times New Roman"/>
          <w:spacing w:val="-1"/>
          <w:sz w:val="24"/>
          <w:szCs w:val="24"/>
        </w:rPr>
        <w:t xml:space="preserve"> at risk of kidney failure but </w:t>
      </w:r>
      <w:r w:rsidR="00911EF9" w:rsidRPr="000D0B6C">
        <w:rPr>
          <w:rFonts w:cs="Times New Roman"/>
          <w:spacing w:val="-1"/>
          <w:sz w:val="24"/>
          <w:szCs w:val="24"/>
        </w:rPr>
        <w:t xml:space="preserve">do not yet </w:t>
      </w:r>
      <w:r w:rsidR="005F6F60" w:rsidRPr="000D0B6C">
        <w:rPr>
          <w:rFonts w:cs="Times New Roman"/>
          <w:spacing w:val="-1"/>
          <w:sz w:val="24"/>
          <w:szCs w:val="24"/>
        </w:rPr>
        <w:t>requir</w:t>
      </w:r>
      <w:r w:rsidR="00911EF9" w:rsidRPr="000D0B6C">
        <w:rPr>
          <w:rFonts w:cs="Times New Roman"/>
          <w:spacing w:val="-1"/>
          <w:sz w:val="24"/>
          <w:szCs w:val="24"/>
        </w:rPr>
        <w:t>e</w:t>
      </w:r>
      <w:r w:rsidR="005F6F60" w:rsidRPr="000D0B6C">
        <w:rPr>
          <w:rFonts w:cs="Times New Roman"/>
          <w:spacing w:val="-1"/>
          <w:sz w:val="24"/>
          <w:szCs w:val="24"/>
        </w:rPr>
        <w:t xml:space="preserve"> dialysis. </w:t>
      </w:r>
      <w:r w:rsidR="000D0B6C" w:rsidRPr="000D0B6C">
        <w:rPr>
          <w:rFonts w:cs="Times New Roman"/>
          <w:spacing w:val="-1"/>
          <w:sz w:val="24"/>
          <w:szCs w:val="24"/>
        </w:rPr>
        <w:t>Currently, Medicare covers up to 6 one hour KDE sessions.</w:t>
      </w:r>
    </w:p>
    <w:p w:rsidR="005F6F60" w:rsidRPr="000D0B6C" w:rsidRDefault="005F6F60" w:rsidP="006F3EA6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</w:p>
    <w:p w:rsidR="00045961" w:rsidRPr="000D0B6C" w:rsidRDefault="00045961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  <w:r w:rsidRPr="000D0B6C">
        <w:rPr>
          <w:rFonts w:cs="Times New Roman"/>
          <w:b/>
          <w:spacing w:val="-1"/>
          <w:sz w:val="24"/>
          <w:szCs w:val="24"/>
        </w:rPr>
        <w:t>Who provides KDE?</w:t>
      </w:r>
    </w:p>
    <w:p w:rsidR="006F3EA6" w:rsidRPr="000D0B6C" w:rsidRDefault="00045961" w:rsidP="00045961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>An individual’s physician must “prescribe” KDE. Physicians, nurse practitioners, physician assistants or clinical nurse specialists can provide the service. KDE can take place at a rural hospital, critical access hospital, skilled nursing facility</w:t>
      </w:r>
      <w:r w:rsidR="006F3EA6" w:rsidRPr="000D0B6C">
        <w:rPr>
          <w:rFonts w:cs="Times New Roman"/>
          <w:spacing w:val="-1"/>
          <w:sz w:val="24"/>
          <w:szCs w:val="24"/>
        </w:rPr>
        <w:t>, outpatient rehab facil</w:t>
      </w:r>
      <w:r w:rsidR="00911EF9" w:rsidRPr="000D0B6C">
        <w:rPr>
          <w:rFonts w:cs="Times New Roman"/>
          <w:spacing w:val="-1"/>
          <w:sz w:val="24"/>
          <w:szCs w:val="24"/>
        </w:rPr>
        <w:t>ity</w:t>
      </w:r>
      <w:r w:rsidRPr="000D0B6C">
        <w:rPr>
          <w:rFonts w:cs="Times New Roman"/>
          <w:spacing w:val="-1"/>
          <w:sz w:val="24"/>
          <w:szCs w:val="24"/>
        </w:rPr>
        <w:t>, home health agency</w:t>
      </w:r>
      <w:r w:rsidR="006F3EA6" w:rsidRPr="000D0B6C">
        <w:rPr>
          <w:rFonts w:cs="Times New Roman"/>
          <w:spacing w:val="-1"/>
          <w:sz w:val="24"/>
          <w:szCs w:val="24"/>
        </w:rPr>
        <w:t>, or hospice</w:t>
      </w:r>
      <w:r w:rsidRPr="000D0B6C">
        <w:rPr>
          <w:rFonts w:cs="Times New Roman"/>
          <w:spacing w:val="-1"/>
          <w:sz w:val="24"/>
          <w:szCs w:val="24"/>
        </w:rPr>
        <w:t>.</w:t>
      </w:r>
    </w:p>
    <w:p w:rsidR="00045961" w:rsidRPr="000D0B6C" w:rsidRDefault="00045961" w:rsidP="00045961">
      <w:pPr>
        <w:pStyle w:val="BodyText"/>
        <w:spacing w:before="72"/>
        <w:rPr>
          <w:rFonts w:cs="Times New Roman"/>
          <w:spacing w:val="-1"/>
          <w:sz w:val="24"/>
          <w:szCs w:val="24"/>
        </w:rPr>
      </w:pPr>
    </w:p>
    <w:p w:rsidR="00045961" w:rsidRPr="000D0B6C" w:rsidRDefault="00045961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  <w:r w:rsidRPr="000D0B6C">
        <w:rPr>
          <w:rFonts w:cs="Times New Roman"/>
          <w:b/>
          <w:spacing w:val="-1"/>
          <w:sz w:val="24"/>
          <w:szCs w:val="24"/>
        </w:rPr>
        <w:t xml:space="preserve">How can we increase access to KDE? </w:t>
      </w:r>
    </w:p>
    <w:p w:rsidR="00911EF9" w:rsidRPr="000D0B6C" w:rsidRDefault="00911EF9" w:rsidP="006F3EA6">
      <w:pPr>
        <w:pStyle w:val="BodyText"/>
        <w:spacing w:before="72"/>
        <w:rPr>
          <w:rFonts w:cs="Times New Roman"/>
          <w:b/>
          <w:spacing w:val="-1"/>
          <w:sz w:val="24"/>
          <w:szCs w:val="24"/>
        </w:rPr>
      </w:pPr>
      <w:bookmarkStart w:id="0" w:name="_GoBack"/>
      <w:bookmarkEnd w:id="0"/>
      <w:r w:rsidRPr="000D0B6C">
        <w:rPr>
          <w:rFonts w:cs="Times New Roman"/>
          <w:spacing w:val="-1"/>
          <w:sz w:val="24"/>
          <w:szCs w:val="24"/>
        </w:rPr>
        <w:t xml:space="preserve">To increase access, we recommend: </w:t>
      </w:r>
    </w:p>
    <w:p w:rsidR="006F3EA6" w:rsidRPr="000D0B6C" w:rsidRDefault="006F3EA6" w:rsidP="00045961">
      <w:pPr>
        <w:pStyle w:val="BodyText"/>
        <w:numPr>
          <w:ilvl w:val="0"/>
          <w:numId w:val="7"/>
        </w:numPr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 xml:space="preserve">Authorize reimbursement for KDE provided at dialysis facilities </w:t>
      </w:r>
    </w:p>
    <w:p w:rsidR="006F3EA6" w:rsidRPr="000D0B6C" w:rsidRDefault="006F3EA6" w:rsidP="00045961">
      <w:pPr>
        <w:pStyle w:val="BodyText"/>
        <w:numPr>
          <w:ilvl w:val="0"/>
          <w:numId w:val="7"/>
        </w:numPr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 xml:space="preserve">Allow physician assistants, nurse practitioners, clinical nurse specialists, to “refer to” (prescribe) KDE services </w:t>
      </w:r>
    </w:p>
    <w:p w:rsidR="006F3EA6" w:rsidRPr="000D0B6C" w:rsidRDefault="006F3EA6" w:rsidP="00045961">
      <w:pPr>
        <w:pStyle w:val="BodyText"/>
        <w:numPr>
          <w:ilvl w:val="0"/>
          <w:numId w:val="7"/>
        </w:numPr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 xml:space="preserve">Permit KDE for Stage V CKD patients </w:t>
      </w:r>
    </w:p>
    <w:p w:rsidR="006F3EA6" w:rsidRPr="000D0B6C" w:rsidRDefault="006F3EA6" w:rsidP="00045961">
      <w:pPr>
        <w:pStyle w:val="BodyText"/>
        <w:numPr>
          <w:ilvl w:val="0"/>
          <w:numId w:val="7"/>
        </w:numPr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 xml:space="preserve">Include masters level social workers and home dialysis nurses with five or more years of experience in the definition of a person qualified to provide KDE </w:t>
      </w:r>
    </w:p>
    <w:p w:rsidR="006F3EA6" w:rsidRPr="000D0B6C" w:rsidRDefault="00911EF9" w:rsidP="00045961">
      <w:pPr>
        <w:pStyle w:val="BodyText"/>
        <w:numPr>
          <w:ilvl w:val="0"/>
          <w:numId w:val="7"/>
        </w:numPr>
        <w:spacing w:before="72"/>
        <w:rPr>
          <w:rFonts w:cs="Times New Roman"/>
          <w:spacing w:val="-1"/>
          <w:sz w:val="24"/>
          <w:szCs w:val="24"/>
        </w:rPr>
      </w:pPr>
      <w:r w:rsidRPr="000D0B6C">
        <w:rPr>
          <w:rFonts w:cs="Times New Roman"/>
          <w:spacing w:val="-1"/>
          <w:sz w:val="24"/>
          <w:szCs w:val="24"/>
        </w:rPr>
        <w:t>Include</w:t>
      </w:r>
      <w:r w:rsidR="006F3EA6" w:rsidRPr="000D0B6C">
        <w:rPr>
          <w:rFonts w:cs="Times New Roman"/>
          <w:spacing w:val="-1"/>
          <w:sz w:val="24"/>
          <w:szCs w:val="24"/>
        </w:rPr>
        <w:t xml:space="preserve"> kidney disease education services as a mandatory service for Medicaid beneficiaries with CKD/ESRD. </w:t>
      </w:r>
    </w:p>
    <w:p w:rsidR="00A24955" w:rsidRPr="000D0B6C" w:rsidRDefault="00A24955" w:rsidP="006F3EA6">
      <w:pPr>
        <w:pStyle w:val="BodyText"/>
        <w:spacing w:before="72"/>
        <w:rPr>
          <w:rFonts w:cs="Times New Roman"/>
          <w:sz w:val="24"/>
          <w:szCs w:val="24"/>
        </w:rPr>
      </w:pPr>
    </w:p>
    <w:sectPr w:rsidR="00A24955" w:rsidRPr="000D0B6C" w:rsidSect="006F3EA6">
      <w:footerReference w:type="default" r:id="rId9"/>
      <w:pgSz w:w="12240" w:h="15840"/>
      <w:pgMar w:top="920" w:right="134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26" w:rsidRDefault="00870D26">
      <w:r>
        <w:separator/>
      </w:r>
    </w:p>
  </w:endnote>
  <w:endnote w:type="continuationSeparator" w:id="0">
    <w:p w:rsidR="00870D26" w:rsidRDefault="0087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55" w:rsidRDefault="0062157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97C796" wp14:editId="3BEBD4E5">
              <wp:simplePos x="0" y="0"/>
              <wp:positionH relativeFrom="page">
                <wp:posOffset>3826510</wp:posOffset>
              </wp:positionH>
              <wp:positionV relativeFrom="page">
                <wp:posOffset>9272905</wp:posOffset>
              </wp:positionV>
              <wp:extent cx="12128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955" w:rsidRDefault="001B79EB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E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7C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15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gq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OAHcYRRCVf+IlpeRi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" filled="f" stroked="f">
              <v:textbox inset="0,0,0,0">
                <w:txbxContent>
                  <w:p w:rsidR="00A24955" w:rsidRDefault="001B79EB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85E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26" w:rsidRDefault="00870D26">
      <w:r>
        <w:separator/>
      </w:r>
    </w:p>
  </w:footnote>
  <w:footnote w:type="continuationSeparator" w:id="0">
    <w:p w:rsidR="00870D26" w:rsidRDefault="0087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724"/>
    <w:multiLevelType w:val="hybridMultilevel"/>
    <w:tmpl w:val="35D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3FA"/>
    <w:multiLevelType w:val="hybridMultilevel"/>
    <w:tmpl w:val="151671D0"/>
    <w:lvl w:ilvl="0" w:tplc="1FBA660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CBD2BB22">
      <w:start w:val="1"/>
      <w:numFmt w:val="lowerLetter"/>
      <w:lvlText w:val="%2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4D6C9C"/>
    <w:multiLevelType w:val="hybridMultilevel"/>
    <w:tmpl w:val="DB8E88C2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CBD2BB22">
      <w:start w:val="1"/>
      <w:numFmt w:val="lowerLetter"/>
      <w:lvlText w:val="%2)"/>
      <w:lvlJc w:val="left"/>
      <w:pPr>
        <w:ind w:left="156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27B28DA"/>
    <w:multiLevelType w:val="hybridMultilevel"/>
    <w:tmpl w:val="D02268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10549B8"/>
    <w:multiLevelType w:val="hybridMultilevel"/>
    <w:tmpl w:val="CAC4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8365A"/>
    <w:multiLevelType w:val="hybridMultilevel"/>
    <w:tmpl w:val="2AD805DC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4AC3024"/>
    <w:multiLevelType w:val="hybridMultilevel"/>
    <w:tmpl w:val="0C9A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55"/>
    <w:rsid w:val="00011837"/>
    <w:rsid w:val="00043543"/>
    <w:rsid w:val="00045961"/>
    <w:rsid w:val="00051D43"/>
    <w:rsid w:val="00064AA8"/>
    <w:rsid w:val="000945B8"/>
    <w:rsid w:val="00094961"/>
    <w:rsid w:val="000D0B6C"/>
    <w:rsid w:val="000F7B90"/>
    <w:rsid w:val="00131226"/>
    <w:rsid w:val="001575C9"/>
    <w:rsid w:val="00162D82"/>
    <w:rsid w:val="00165DF7"/>
    <w:rsid w:val="0018194F"/>
    <w:rsid w:val="0018351B"/>
    <w:rsid w:val="001A3278"/>
    <w:rsid w:val="001A77DA"/>
    <w:rsid w:val="001B79EB"/>
    <w:rsid w:val="001C2552"/>
    <w:rsid w:val="001C5F0A"/>
    <w:rsid w:val="001E1622"/>
    <w:rsid w:val="001F6985"/>
    <w:rsid w:val="00202FEB"/>
    <w:rsid w:val="0021500B"/>
    <w:rsid w:val="00247D7D"/>
    <w:rsid w:val="00270FA9"/>
    <w:rsid w:val="002841FB"/>
    <w:rsid w:val="00285E8E"/>
    <w:rsid w:val="002F35AC"/>
    <w:rsid w:val="00364DB3"/>
    <w:rsid w:val="00372DD9"/>
    <w:rsid w:val="003739EB"/>
    <w:rsid w:val="00394CFE"/>
    <w:rsid w:val="003E1E7F"/>
    <w:rsid w:val="003F2363"/>
    <w:rsid w:val="00404513"/>
    <w:rsid w:val="00414419"/>
    <w:rsid w:val="00434BEF"/>
    <w:rsid w:val="00485D9A"/>
    <w:rsid w:val="004942C8"/>
    <w:rsid w:val="00502551"/>
    <w:rsid w:val="0058321B"/>
    <w:rsid w:val="005F6F60"/>
    <w:rsid w:val="006106B2"/>
    <w:rsid w:val="00621570"/>
    <w:rsid w:val="00661592"/>
    <w:rsid w:val="00683C3E"/>
    <w:rsid w:val="006F3EA6"/>
    <w:rsid w:val="007B529B"/>
    <w:rsid w:val="007F4C3E"/>
    <w:rsid w:val="008244D6"/>
    <w:rsid w:val="00830083"/>
    <w:rsid w:val="00866C6F"/>
    <w:rsid w:val="00866C89"/>
    <w:rsid w:val="00870D26"/>
    <w:rsid w:val="008A3E7F"/>
    <w:rsid w:val="00911EF9"/>
    <w:rsid w:val="00922C31"/>
    <w:rsid w:val="009235CB"/>
    <w:rsid w:val="00992E70"/>
    <w:rsid w:val="0099557E"/>
    <w:rsid w:val="00995FD8"/>
    <w:rsid w:val="009A4D3F"/>
    <w:rsid w:val="009B5AA1"/>
    <w:rsid w:val="00A24955"/>
    <w:rsid w:val="00A41CF3"/>
    <w:rsid w:val="00AB04F1"/>
    <w:rsid w:val="00AC44B4"/>
    <w:rsid w:val="00AF2E15"/>
    <w:rsid w:val="00B149C6"/>
    <w:rsid w:val="00B21D19"/>
    <w:rsid w:val="00B52511"/>
    <w:rsid w:val="00B61DC7"/>
    <w:rsid w:val="00B87DFF"/>
    <w:rsid w:val="00BB6A77"/>
    <w:rsid w:val="00BC26AD"/>
    <w:rsid w:val="00BD6E3B"/>
    <w:rsid w:val="00BF30C0"/>
    <w:rsid w:val="00BF4F7D"/>
    <w:rsid w:val="00C24F6D"/>
    <w:rsid w:val="00C36013"/>
    <w:rsid w:val="00C45799"/>
    <w:rsid w:val="00CC247F"/>
    <w:rsid w:val="00D037BA"/>
    <w:rsid w:val="00D07117"/>
    <w:rsid w:val="00D742EC"/>
    <w:rsid w:val="00DC5DE5"/>
    <w:rsid w:val="00DE1FB8"/>
    <w:rsid w:val="00E53398"/>
    <w:rsid w:val="00E63039"/>
    <w:rsid w:val="00E726AA"/>
    <w:rsid w:val="00EA2E16"/>
    <w:rsid w:val="00EC28EA"/>
    <w:rsid w:val="00F53BBC"/>
    <w:rsid w:val="00F63A2F"/>
    <w:rsid w:val="00F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018A3A-D25F-4070-8BE3-1FC1472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B7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35A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9235CB"/>
    <w:pPr>
      <w:widowControl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235CB"/>
    <w:pPr>
      <w:widowControl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35C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235C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F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2797039E10F4B877B1785F1083F48" ma:contentTypeVersion="18" ma:contentTypeDescription="Create a new document." ma:contentTypeScope="" ma:versionID="0cce6f2e033c630cd7d46d1152b75b0b">
  <xsd:schema xmlns:xsd="http://www.w3.org/2001/XMLSchema" xmlns:xs="http://www.w3.org/2001/XMLSchema" xmlns:p="http://schemas.microsoft.com/office/2006/metadata/properties" xmlns:ns2="a5ec7bdb-4640-4ce8-bdb9-aaf32c714275" xmlns:ns3="f695447e-dcab-4201-b6d4-9a6c9a18ca9c" targetNamespace="http://schemas.microsoft.com/office/2006/metadata/properties" ma:root="true" ma:fieldsID="c8d3157bdf1cfc5f5c35b556cf60280c" ns2:_="" ns3:_="">
    <xsd:import namespace="a5ec7bdb-4640-4ce8-bdb9-aaf32c714275"/>
    <xsd:import namespace="f695447e-dcab-4201-b6d4-9a6c9a18c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7bdb-4640-4ce8-bdb9-aaf32c714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90e5d-d177-4975-b4ef-fb844f368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5447e-dcab-4201-b6d4-9a6c9a18c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087f6d-bab2-4576-8bf9-71eecf17b314}" ma:internalName="TaxCatchAll" ma:showField="CatchAllData" ma:web="f695447e-dcab-4201-b6d4-9a6c9a18ca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5447e-dcab-4201-b6d4-9a6c9a18ca9c" xsi:nil="true"/>
    <lcf76f155ced4ddcb4097134ff3c332f xmlns="a5ec7bdb-4640-4ce8-bdb9-aaf32c7142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538D1-A869-4E18-BDEF-302B415D50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3E4F9-F5F8-4527-8E6C-6E41E11B9C3F}"/>
</file>

<file path=customXml/itemProps3.xml><?xml version="1.0" encoding="utf-8"?>
<ds:datastoreItem xmlns:ds="http://schemas.openxmlformats.org/officeDocument/2006/customXml" ds:itemID="{C45E66F2-4195-465A-A9EA-172B4C52092F}"/>
</file>

<file path=customXml/itemProps4.xml><?xml version="1.0" encoding="utf-8"?>
<ds:datastoreItem xmlns:ds="http://schemas.openxmlformats.org/officeDocument/2006/customXml" ds:itemID="{0A2D3EC5-7385-49A5-A2E5-BB84F2EE8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Beaty</dc:creator>
  <cp:lastModifiedBy>Michael Spira</cp:lastModifiedBy>
  <cp:revision>2</cp:revision>
  <cp:lastPrinted>2016-12-21T19:21:00Z</cp:lastPrinted>
  <dcterms:created xsi:type="dcterms:W3CDTF">2017-04-26T18:36:00Z</dcterms:created>
  <dcterms:modified xsi:type="dcterms:W3CDTF">2017-04-26T18:36:00Z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2016-02-01T00:00:00Z</vt:filetime>
  </property>
  <property fmtid="{D5CDD505-2E9C-101B-9397-08002B2CF9AE}" pid="4" name="ContentTypeId">
    <vt:lpwstr>0x010100B782797039E10F4B877B1785F1083F48</vt:lpwstr>
  </property>
  <property fmtid="{D5CDD505-2E9C-101B-9397-08002B2CF9AE}" pid="5" name="Order">
    <vt:r8>7243800</vt:r8>
  </property>
  <property fmtid="{D5CDD505-2E9C-101B-9397-08002B2CF9AE}" pid="6" name="MediaServiceImageTags">
    <vt:lpwstr/>
  </property>
</Properties>
</file>